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91D2" w14:textId="77777777" w:rsidR="00734091" w:rsidRPr="00D47183" w:rsidRDefault="00734091" w:rsidP="007340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47183">
        <w:rPr>
          <w:rFonts w:asciiTheme="minorHAnsi" w:hAnsiTheme="minorHAnsi" w:cstheme="minorHAnsi"/>
          <w:b/>
          <w:bCs/>
          <w:sz w:val="32"/>
          <w:szCs w:val="32"/>
        </w:rPr>
        <w:t>National Consumers Roundtable on Energy</w:t>
      </w:r>
    </w:p>
    <w:p w14:paraId="6B6FF0AA" w14:textId="77777777" w:rsidR="00734091" w:rsidRPr="00D47183" w:rsidRDefault="00FC7A8F" w:rsidP="007340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47183">
        <w:rPr>
          <w:rFonts w:asciiTheme="minorHAnsi" w:hAnsiTheme="minorHAnsi" w:cstheme="minorHAnsi"/>
          <w:b/>
          <w:bCs/>
          <w:sz w:val="28"/>
          <w:szCs w:val="28"/>
        </w:rPr>
        <w:t>Enabling Group</w:t>
      </w:r>
      <w:r w:rsidR="00734091" w:rsidRPr="00D471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27E6A" w:rsidRPr="00D47183">
        <w:rPr>
          <w:rFonts w:asciiTheme="minorHAnsi" w:hAnsiTheme="minorHAnsi" w:cstheme="minorHAnsi"/>
          <w:b/>
          <w:bCs/>
          <w:sz w:val="28"/>
          <w:szCs w:val="28"/>
        </w:rPr>
        <w:t>Reporting Template</w:t>
      </w:r>
    </w:p>
    <w:p w14:paraId="40709F9F" w14:textId="77777777" w:rsidR="00734091" w:rsidRPr="00D47183" w:rsidRDefault="00734091" w:rsidP="00DC7F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3BA865F6" w14:textId="77777777" w:rsidR="00DC7F29" w:rsidRPr="00D47183" w:rsidRDefault="00DC7F29" w:rsidP="00DC7F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D47183">
        <w:rPr>
          <w:rFonts w:asciiTheme="minorHAnsi" w:hAnsiTheme="minorHAnsi" w:cstheme="minorHAnsi"/>
          <w:b/>
          <w:bCs/>
          <w:sz w:val="23"/>
          <w:szCs w:val="23"/>
        </w:rPr>
        <w:t xml:space="preserve">1. </w:t>
      </w:r>
      <w:r w:rsidR="00D27E6A" w:rsidRPr="00D47183">
        <w:rPr>
          <w:rFonts w:asciiTheme="minorHAnsi" w:hAnsiTheme="minorHAnsi" w:cstheme="minorHAnsi"/>
          <w:b/>
          <w:bCs/>
          <w:sz w:val="23"/>
          <w:szCs w:val="23"/>
        </w:rPr>
        <w:t>Project Name</w:t>
      </w:r>
      <w:r w:rsidR="00DE11C9" w:rsidRPr="00D47183">
        <w:rPr>
          <w:rFonts w:asciiTheme="minorHAnsi" w:hAnsiTheme="minorHAnsi" w:cstheme="minorHAnsi"/>
          <w:b/>
          <w:bCs/>
          <w:sz w:val="23"/>
          <w:szCs w:val="23"/>
        </w:rPr>
        <w:t>, Enabling Group Lead Name and Enabling Group Members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7E6A" w:rsidRPr="00D47183" w14:paraId="620DEB50" w14:textId="77777777" w:rsidTr="00D47183">
        <w:tc>
          <w:tcPr>
            <w:tcW w:w="9016" w:type="dxa"/>
          </w:tcPr>
          <w:p w14:paraId="465C67FB" w14:textId="77777777" w:rsidR="00D27E6A" w:rsidRPr="00D47183" w:rsidRDefault="00D566D9" w:rsidP="00DC7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</w:t>
            </w:r>
          </w:p>
        </w:tc>
      </w:tr>
      <w:tr w:rsidR="00D27E6A" w:rsidRPr="00D47183" w14:paraId="3D2EBC07" w14:textId="77777777" w:rsidTr="00D47183">
        <w:tc>
          <w:tcPr>
            <w:tcW w:w="9016" w:type="dxa"/>
          </w:tcPr>
          <w:p w14:paraId="4B0941D1" w14:textId="77777777" w:rsidR="00D27E6A" w:rsidRPr="00D47183" w:rsidRDefault="00D566D9" w:rsidP="00DC7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Mark Byrne</w:t>
            </w:r>
          </w:p>
        </w:tc>
      </w:tr>
      <w:tr w:rsidR="00D27E6A" w:rsidRPr="00D47183" w14:paraId="4D42915A" w14:textId="77777777" w:rsidTr="00D47183">
        <w:tc>
          <w:tcPr>
            <w:tcW w:w="9016" w:type="dxa"/>
          </w:tcPr>
          <w:p w14:paraId="44F02EDC" w14:textId="77777777" w:rsidR="00D27E6A" w:rsidRPr="00D47183" w:rsidRDefault="00D566D9" w:rsidP="00DC7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Luke Reade, Kellie Caught, Craig </w:t>
            </w:r>
            <w:proofErr w:type="spellStart"/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Memery</w:t>
            </w:r>
            <w:proofErr w:type="spellEnd"/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Douglas McCloskey, </w:t>
            </w:r>
            <w:r w:rsidR="003B7E28"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Dean Lombard, Rob Law, Gavin </w:t>
            </w:r>
            <w:proofErr w:type="spellStart"/>
            <w:r w:rsidR="003B7E28"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Dufty</w:t>
            </w:r>
            <w:proofErr w:type="spellEnd"/>
            <w:r w:rsidR="003B7E28"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, Mark Henley</w:t>
            </w:r>
          </w:p>
        </w:tc>
      </w:tr>
    </w:tbl>
    <w:p w14:paraId="3C524C8F" w14:textId="77777777" w:rsidR="00D27E6A" w:rsidRPr="00D47183" w:rsidRDefault="00D27E6A" w:rsidP="00DC7F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3C4FE510" w14:textId="77777777" w:rsidR="00DC7F29" w:rsidRPr="00D47183" w:rsidRDefault="00DC7F29" w:rsidP="00DC7F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D47183">
        <w:rPr>
          <w:rFonts w:asciiTheme="minorHAnsi" w:hAnsiTheme="minorHAnsi" w:cstheme="minorHAnsi"/>
          <w:b/>
          <w:bCs/>
          <w:sz w:val="23"/>
          <w:szCs w:val="23"/>
        </w:rPr>
        <w:t xml:space="preserve">2. </w:t>
      </w:r>
      <w:r w:rsidR="00D27E6A" w:rsidRPr="00D47183">
        <w:rPr>
          <w:rFonts w:asciiTheme="minorHAnsi" w:hAnsiTheme="minorHAnsi" w:cstheme="minorHAnsi"/>
          <w:b/>
          <w:bCs/>
          <w:sz w:val="23"/>
          <w:szCs w:val="23"/>
        </w:rPr>
        <w:t>Project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7E6A" w:rsidRPr="00D47183" w14:paraId="75072998" w14:textId="77777777" w:rsidTr="003E2E70">
        <w:tc>
          <w:tcPr>
            <w:tcW w:w="9016" w:type="dxa"/>
          </w:tcPr>
          <w:p w14:paraId="60136BDB" w14:textId="76DFA7F3" w:rsidR="003E2E70" w:rsidRPr="00D47183" w:rsidRDefault="003E2E70" w:rsidP="003E2E7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rPr>
                <w:rFonts w:asciiTheme="minorHAnsi" w:hAnsiTheme="minorHAnsi" w:cstheme="minorHAnsi"/>
                <w:color w:val="454545"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 xml:space="preserve">The RT DER group (aka Le DERG) is an ongoing </w:t>
            </w:r>
            <w:r w:rsidR="006C5815"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>forum</w:t>
            </w:r>
            <w:r w:rsidR="006C5815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 xml:space="preserve"> that will:</w:t>
            </w:r>
            <w:r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 xml:space="preserve"> </w:t>
            </w:r>
          </w:p>
          <w:p w14:paraId="641D909D" w14:textId="5D2A1339" w:rsidR="003E2E70" w:rsidRPr="00D47183" w:rsidRDefault="006C5815" w:rsidP="003E2E7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>Identify and d</w:t>
            </w:r>
            <w:r w:rsidR="003E2E70"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 xml:space="preserve">iscuss the opportunities and challenges </w:t>
            </w:r>
            <w:r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 xml:space="preserve">facing consumers </w:t>
            </w:r>
            <w:r w:rsidR="003E2E70"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>created by the DER transition</w:t>
            </w:r>
            <w:r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>, with a focus on inclusion and equity</w:t>
            </w:r>
            <w:r w:rsidR="003E2E70"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>.</w:t>
            </w:r>
          </w:p>
          <w:p w14:paraId="4121D9E3" w14:textId="57435CA3" w:rsidR="003E2E70" w:rsidRPr="00D47183" w:rsidRDefault="003E2E70" w:rsidP="003E2E7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</w:pPr>
            <w:r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>Seek solutions to the issues identified.</w:t>
            </w:r>
          </w:p>
          <w:p w14:paraId="4AB0A06C" w14:textId="4E45B046" w:rsidR="00D27E6A" w:rsidRPr="00D47183" w:rsidRDefault="003E2E70" w:rsidP="003E2E7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</w:pPr>
            <w:r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 xml:space="preserve">Build capacity </w:t>
            </w:r>
            <w:r w:rsidR="006C5815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 xml:space="preserve">of RT members and other consumer advocates </w:t>
            </w:r>
            <w:r w:rsidRPr="00D47183">
              <w:rPr>
                <w:rFonts w:asciiTheme="minorHAnsi" w:hAnsiTheme="minorHAnsi" w:cstheme="minorHAnsi"/>
                <w:color w:val="454545"/>
                <w:sz w:val="20"/>
                <w:szCs w:val="20"/>
                <w:lang w:val="en-US"/>
              </w:rPr>
              <w:t>to advocate on behalf of our constituents.</w:t>
            </w:r>
            <w:r w:rsidRPr="00D47183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 </w:t>
            </w:r>
          </w:p>
        </w:tc>
      </w:tr>
    </w:tbl>
    <w:p w14:paraId="2ED3AEAC" w14:textId="77777777" w:rsidR="00D27E6A" w:rsidRPr="00D47183" w:rsidRDefault="00D27E6A" w:rsidP="00DC7F29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09E0B91B" w14:textId="77777777" w:rsidR="00DC7F29" w:rsidRPr="00D47183" w:rsidRDefault="00DC7F29" w:rsidP="00DC7F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D47183">
        <w:rPr>
          <w:rFonts w:asciiTheme="minorHAnsi" w:hAnsiTheme="minorHAnsi" w:cstheme="minorHAnsi"/>
          <w:b/>
          <w:bCs/>
          <w:sz w:val="23"/>
          <w:szCs w:val="23"/>
        </w:rPr>
        <w:t xml:space="preserve">3. </w:t>
      </w:r>
      <w:r w:rsidR="00D27E6A" w:rsidRPr="00D47183">
        <w:rPr>
          <w:rFonts w:asciiTheme="minorHAnsi" w:hAnsiTheme="minorHAnsi" w:cstheme="minorHAnsi"/>
          <w:b/>
          <w:bCs/>
          <w:sz w:val="23"/>
          <w:szCs w:val="23"/>
        </w:rPr>
        <w:t>Project Outputs</w:t>
      </w:r>
    </w:p>
    <w:p w14:paraId="0D29F244" w14:textId="77777777" w:rsidR="00D27E6A" w:rsidRPr="00D47183" w:rsidRDefault="00D27E6A" w:rsidP="00DC7F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 w:rsidRPr="00D47183">
        <w:rPr>
          <w:rFonts w:asciiTheme="minorHAnsi" w:hAnsiTheme="minorHAnsi" w:cstheme="minorHAnsi"/>
          <w:bCs/>
          <w:sz w:val="23"/>
          <w:szCs w:val="23"/>
        </w:rPr>
        <w:t>These may be key agreements of the Enabling Grou</w:t>
      </w:r>
      <w:r w:rsidR="00700BBC" w:rsidRPr="00D47183">
        <w:rPr>
          <w:rFonts w:asciiTheme="minorHAnsi" w:hAnsiTheme="minorHAnsi" w:cstheme="minorHAnsi"/>
          <w:bCs/>
          <w:sz w:val="23"/>
          <w:szCs w:val="23"/>
        </w:rPr>
        <w:t xml:space="preserve">p, such as policy principles, </w:t>
      </w:r>
      <w:r w:rsidRPr="00D47183">
        <w:rPr>
          <w:rFonts w:asciiTheme="minorHAnsi" w:hAnsiTheme="minorHAnsi" w:cstheme="minorHAnsi"/>
          <w:bCs/>
          <w:sz w:val="23"/>
          <w:szCs w:val="23"/>
        </w:rPr>
        <w:t>policies</w:t>
      </w:r>
      <w:r w:rsidR="00700BBC" w:rsidRPr="00D47183">
        <w:rPr>
          <w:rFonts w:asciiTheme="minorHAnsi" w:hAnsiTheme="minorHAnsi" w:cstheme="minorHAnsi"/>
          <w:bCs/>
          <w:sz w:val="23"/>
          <w:szCs w:val="23"/>
        </w:rPr>
        <w:t>, joint submissions or reports</w:t>
      </w:r>
      <w:r w:rsidRPr="00D47183">
        <w:rPr>
          <w:rFonts w:asciiTheme="minorHAnsi" w:hAnsiTheme="minorHAnsi" w:cstheme="minorHAnsi"/>
          <w:bCs/>
          <w:sz w:val="23"/>
          <w:szCs w:val="23"/>
        </w:rPr>
        <w:t>, or decisions made by governments or businesses which the Project influenced. Please provide references if available, or attach additional pages if required.</w:t>
      </w:r>
      <w:r w:rsidR="00700BBC" w:rsidRPr="00D47183">
        <w:rPr>
          <w:rFonts w:asciiTheme="minorHAnsi" w:hAnsiTheme="minorHAnsi" w:cstheme="minorHAnsi"/>
          <w:bCs/>
          <w:sz w:val="23"/>
          <w:szCs w:val="23"/>
        </w:rPr>
        <w:t xml:space="preserve"> If the output was a published document, please provide a copy.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7E6A" w:rsidRPr="00D47183" w14:paraId="33291425" w14:textId="77777777" w:rsidTr="0037031B">
        <w:tc>
          <w:tcPr>
            <w:tcW w:w="9016" w:type="dxa"/>
          </w:tcPr>
          <w:p w14:paraId="1D3FC9B0" w14:textId="77777777" w:rsidR="00D27E6A" w:rsidRPr="00D47183" w:rsidRDefault="003E2E70" w:rsidP="00755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Manifesto</w:t>
            </w:r>
          </w:p>
        </w:tc>
      </w:tr>
      <w:tr w:rsidR="00D27E6A" w:rsidRPr="00D47183" w14:paraId="13876656" w14:textId="77777777" w:rsidTr="0037031B">
        <w:tc>
          <w:tcPr>
            <w:tcW w:w="9016" w:type="dxa"/>
          </w:tcPr>
          <w:p w14:paraId="49F6938D" w14:textId="77777777" w:rsidR="00D27E6A" w:rsidRPr="00D47183" w:rsidRDefault="00121CDF" w:rsidP="00755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Next page</w:t>
            </w:r>
          </w:p>
        </w:tc>
      </w:tr>
      <w:tr w:rsidR="00D27E6A" w:rsidRPr="00D47183" w14:paraId="2623EF35" w14:textId="77777777" w:rsidTr="0037031B">
        <w:tc>
          <w:tcPr>
            <w:tcW w:w="9016" w:type="dxa"/>
          </w:tcPr>
          <w:p w14:paraId="4C6DAA1D" w14:textId="77777777" w:rsidR="00D27E6A" w:rsidRPr="00D47183" w:rsidRDefault="003E2E70" w:rsidP="00755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Past outputs</w:t>
            </w:r>
          </w:p>
        </w:tc>
      </w:tr>
      <w:tr w:rsidR="00D27E6A" w:rsidRPr="00D47183" w14:paraId="4E1FC1CB" w14:textId="77777777" w:rsidTr="0037031B">
        <w:tc>
          <w:tcPr>
            <w:tcW w:w="9016" w:type="dxa"/>
          </w:tcPr>
          <w:p w14:paraId="4B9C8178" w14:textId="77777777" w:rsidR="00D27E6A" w:rsidRPr="00D47183" w:rsidRDefault="00D46F67" w:rsidP="00755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PPT Presentations to the Hobart Roundtable by Mark Byrne, ARENA and U </w:t>
            </w:r>
            <w:proofErr w:type="spellStart"/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Tas</w:t>
            </w:r>
            <w:proofErr w:type="spellEnd"/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attached. </w:t>
            </w:r>
          </w:p>
        </w:tc>
      </w:tr>
      <w:tr w:rsidR="00D27E6A" w:rsidRPr="00D47183" w14:paraId="2DA7649D" w14:textId="77777777" w:rsidTr="0037031B">
        <w:tc>
          <w:tcPr>
            <w:tcW w:w="9016" w:type="dxa"/>
          </w:tcPr>
          <w:p w14:paraId="335A637C" w14:textId="77777777" w:rsidR="00D27E6A" w:rsidRPr="00D47183" w:rsidRDefault="003E2E70" w:rsidP="00755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Workplan </w:t>
            </w:r>
          </w:p>
        </w:tc>
      </w:tr>
      <w:tr w:rsidR="00056AA6" w:rsidRPr="00D47183" w14:paraId="652C1AF6" w14:textId="77777777" w:rsidTr="0037031B">
        <w:tc>
          <w:tcPr>
            <w:tcW w:w="9016" w:type="dxa"/>
          </w:tcPr>
          <w:p w14:paraId="09CBA957" w14:textId="5B07A30E" w:rsidR="00056AA6" w:rsidRPr="00D47183" w:rsidRDefault="00056AA6" w:rsidP="00056A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Next page</w:t>
            </w:r>
          </w:p>
        </w:tc>
      </w:tr>
      <w:tr w:rsidR="00056AA6" w:rsidRPr="00D47183" w14:paraId="4A2430CD" w14:textId="77777777" w:rsidTr="0037031B">
        <w:tc>
          <w:tcPr>
            <w:tcW w:w="9016" w:type="dxa"/>
          </w:tcPr>
          <w:p w14:paraId="6940CB22" w14:textId="48A6E1D1" w:rsidR="00056AA6" w:rsidRPr="00D47183" w:rsidRDefault="00056AA6" w:rsidP="00056A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</w:t>
            </w:r>
          </w:p>
          <w:p w14:paraId="74B32663" w14:textId="769592C7" w:rsidR="006C5815" w:rsidRPr="004314D1" w:rsidRDefault="00056AA6" w:rsidP="004314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</w:t>
            </w:r>
            <w:r w:rsidR="00E25EB3" w:rsidRPr="004314D1">
              <w:rPr>
                <w:rFonts w:asciiTheme="minorHAnsi" w:hAnsiTheme="minorHAnsi" w:cstheme="minorHAnsi"/>
                <w:bCs/>
                <w:sz w:val="20"/>
                <w:szCs w:val="20"/>
              </w:rPr>
              <w:t>represents a complex and quickly evolving space</w:t>
            </w:r>
            <w:r w:rsidR="006C5815" w:rsidRPr="004314D1">
              <w:rPr>
                <w:rFonts w:asciiTheme="minorHAnsi" w:hAnsiTheme="minorHAnsi" w:cstheme="minorHAnsi"/>
                <w:bCs/>
                <w:sz w:val="20"/>
                <w:szCs w:val="20"/>
              </w:rPr>
              <w:t>. We used the first workshop</w:t>
            </w:r>
            <w:r w:rsidR="00F43AEB" w:rsidRPr="00431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Hobart</w:t>
            </w:r>
            <w:r w:rsidR="006C5815" w:rsidRPr="00431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to:</w:t>
            </w:r>
          </w:p>
          <w:p w14:paraId="0D2F054D" w14:textId="77777777" w:rsidR="00F43AEB" w:rsidRDefault="00F43AEB" w:rsidP="004314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Identify what the groups goals and objectives should be</w:t>
            </w:r>
          </w:p>
          <w:p w14:paraId="5EDDF08A" w14:textId="77777777" w:rsidR="004314D1" w:rsidRDefault="00F43AEB" w:rsidP="004314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4314D1">
              <w:rPr>
                <w:rFonts w:cstheme="minorHAnsi"/>
                <w:bCs/>
                <w:sz w:val="20"/>
                <w:szCs w:val="20"/>
              </w:rPr>
              <w:t>Identify opportunities and challenges DER presents</w:t>
            </w:r>
          </w:p>
          <w:p w14:paraId="2B7C5B2F" w14:textId="178B879B" w:rsidR="00056AA6" w:rsidRPr="004314D1" w:rsidRDefault="00F43AEB" w:rsidP="004314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4314D1">
              <w:rPr>
                <w:rFonts w:cstheme="minorHAnsi"/>
                <w:bCs/>
                <w:sz w:val="20"/>
                <w:szCs w:val="20"/>
              </w:rPr>
              <w:t xml:space="preserve">Identify </w:t>
            </w:r>
            <w:r w:rsidR="00E25EB3" w:rsidRPr="004314D1">
              <w:rPr>
                <w:rFonts w:cstheme="minorHAnsi"/>
                <w:bCs/>
                <w:sz w:val="20"/>
                <w:szCs w:val="20"/>
              </w:rPr>
              <w:t>a range of</w:t>
            </w:r>
            <w:r w:rsidRPr="004314D1">
              <w:rPr>
                <w:rFonts w:cstheme="minorHAnsi"/>
                <w:bCs/>
                <w:sz w:val="20"/>
                <w:szCs w:val="20"/>
              </w:rPr>
              <w:t xml:space="preserve"> potential</w:t>
            </w:r>
            <w:r w:rsidR="00E25EB3" w:rsidRPr="004314D1">
              <w:rPr>
                <w:rFonts w:cstheme="minorHAnsi"/>
                <w:bCs/>
                <w:sz w:val="20"/>
                <w:szCs w:val="20"/>
              </w:rPr>
              <w:t xml:space="preserve"> proactive and reactive issues and processes </w:t>
            </w:r>
            <w:r w:rsidRPr="004314D1">
              <w:rPr>
                <w:rFonts w:cstheme="minorHAnsi"/>
                <w:bCs/>
                <w:sz w:val="20"/>
                <w:szCs w:val="20"/>
              </w:rPr>
              <w:t>the Le DERG group could engage in</w:t>
            </w:r>
          </w:p>
          <w:p w14:paraId="67A77F23" w14:textId="684E1C64" w:rsidR="00E25EB3" w:rsidRPr="00D47183" w:rsidRDefault="00E25EB3" w:rsidP="00E25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7183">
              <w:rPr>
                <w:rFonts w:asciiTheme="minorHAnsi" w:hAnsiTheme="minorHAnsi" w:cstheme="minorHAnsi"/>
                <w:bCs/>
                <w:sz w:val="20"/>
                <w:szCs w:val="20"/>
              </w:rPr>
              <w:t>We are collectively of the view that</w:t>
            </w:r>
            <w:r w:rsidRPr="00D47183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there is value in identifying a number of small pieces of work that </w:t>
            </w:r>
            <w:r w:rsidR="00D47183"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 progressed in the short</w:t>
            </w:r>
            <w:r w:rsidR="00732796"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term, but also using them as opportunities to develop understanding of the longer term, overall work of the group. </w:t>
            </w:r>
            <w:r w:rsidR="00F43A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 example, in 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43A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producing</w:t>
            </w:r>
            <w:r w:rsidR="00F43AEB"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piece </w:t>
            </w:r>
            <w:r w:rsidR="004314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which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analys</w:t>
            </w:r>
            <w:r w:rsidR="00F43A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recommend</w:t>
            </w:r>
            <w:r w:rsidR="004314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best practice solar schemes for renters</w:t>
            </w:r>
            <w:r w:rsidR="00F43A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 develop a better understanding of how we view the broader DER challenges, </w:t>
            </w:r>
            <w:r w:rsidR="00F43A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which will help develop broader </w:t>
            </w:r>
            <w:proofErr w:type="spellStart"/>
            <w:r w:rsidR="00F43A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prinicples</w:t>
            </w:r>
            <w:proofErr w:type="spellEnd"/>
            <w:r w:rsidRPr="00D47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223D94A" w14:textId="77777777" w:rsidR="00F43AEB" w:rsidRDefault="00F43AEB" w:rsidP="00E25E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AE4DF" w14:textId="5A5C88EF" w:rsidR="00732796" w:rsidRPr="00D47183" w:rsidRDefault="00F43AEB" w:rsidP="00E25E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 have </w:t>
            </w:r>
            <w:r w:rsidR="009B5C21">
              <w:rPr>
                <w:rFonts w:asciiTheme="minorHAnsi" w:hAnsiTheme="minorHAnsi" w:cstheme="minorHAnsi"/>
                <w:sz w:val="20"/>
                <w:szCs w:val="20"/>
              </w:rPr>
              <w:t>developed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five month work plan, which we will review, evaluate and refine at our next workshop in June</w:t>
            </w:r>
            <w:r w:rsidR="00732796" w:rsidRPr="00D471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47183">
              <w:rPr>
                <w:rFonts w:asciiTheme="minorHAnsi" w:hAnsiTheme="minorHAnsi" w:cstheme="minorHAnsi"/>
                <w:sz w:val="20"/>
                <w:szCs w:val="20"/>
              </w:rPr>
              <w:t xml:space="preserve"> At that </w:t>
            </w:r>
            <w:r w:rsidR="009B5C21">
              <w:rPr>
                <w:rFonts w:asciiTheme="minorHAnsi" w:hAnsiTheme="minorHAnsi" w:cstheme="minorHAnsi"/>
                <w:sz w:val="20"/>
                <w:szCs w:val="20"/>
              </w:rPr>
              <w:t xml:space="preserve">June </w:t>
            </w:r>
            <w:r w:rsidR="00D47183">
              <w:rPr>
                <w:rFonts w:asciiTheme="minorHAnsi" w:hAnsiTheme="minorHAnsi" w:cstheme="minorHAnsi"/>
                <w:sz w:val="20"/>
                <w:szCs w:val="20"/>
              </w:rPr>
              <w:t xml:space="preserve">meeting we will also review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finalise </w:t>
            </w:r>
            <w:r w:rsidR="00D47183">
              <w:rPr>
                <w:rFonts w:asciiTheme="minorHAnsi" w:hAnsiTheme="minorHAnsi" w:cstheme="minorHAnsi"/>
                <w:sz w:val="20"/>
                <w:szCs w:val="20"/>
              </w:rPr>
              <w:t>the group objectives and manifesto.</w:t>
            </w:r>
          </w:p>
          <w:p w14:paraId="6E4E3A6C" w14:textId="487FDC29" w:rsidR="00E25EB3" w:rsidRPr="00D47183" w:rsidRDefault="00E25EB3" w:rsidP="00E25E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D2D9B09" w14:textId="77777777" w:rsidR="003F329C" w:rsidRPr="00D47183" w:rsidRDefault="003F329C" w:rsidP="00DC7F29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220"/>
      </w:tblGrid>
      <w:tr w:rsidR="003F329C" w:rsidRPr="00D47183" w14:paraId="3D1B6704" w14:textId="77777777" w:rsidTr="003F329C">
        <w:tc>
          <w:tcPr>
            <w:tcW w:w="4915" w:type="dxa"/>
          </w:tcPr>
          <w:p w14:paraId="39A1A1BB" w14:textId="77777777" w:rsidR="003F329C" w:rsidRPr="00D47183" w:rsidRDefault="003F329C" w:rsidP="00B76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47183">
              <w:rPr>
                <w:rFonts w:asciiTheme="minorHAnsi" w:hAnsiTheme="minorHAnsi" w:cstheme="minorHAnsi"/>
                <w:sz w:val="23"/>
                <w:szCs w:val="23"/>
              </w:rPr>
              <w:t xml:space="preserve">Date </w:t>
            </w:r>
            <w:r w:rsidR="00B769EE" w:rsidRPr="00D47183">
              <w:rPr>
                <w:rFonts w:asciiTheme="minorHAnsi" w:hAnsiTheme="minorHAnsi" w:cstheme="minorHAnsi"/>
                <w:sz w:val="23"/>
                <w:szCs w:val="23"/>
              </w:rPr>
              <w:t>Provided to SACOSS</w:t>
            </w:r>
          </w:p>
        </w:tc>
        <w:tc>
          <w:tcPr>
            <w:tcW w:w="4327" w:type="dxa"/>
          </w:tcPr>
          <w:p w14:paraId="08C65E46" w14:textId="77777777" w:rsidR="003F329C" w:rsidRPr="00D47183" w:rsidRDefault="003E2E70" w:rsidP="003F3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47183">
              <w:rPr>
                <w:rFonts w:asciiTheme="minorHAnsi" w:hAnsiTheme="minorHAnsi" w:cstheme="minorHAnsi"/>
                <w:sz w:val="23"/>
                <w:szCs w:val="23"/>
              </w:rPr>
              <w:t>19 March 2019</w:t>
            </w:r>
          </w:p>
        </w:tc>
      </w:tr>
    </w:tbl>
    <w:p w14:paraId="7BAFFF85" w14:textId="77777777" w:rsidR="00121CDF" w:rsidRPr="00D47183" w:rsidRDefault="00121CDF">
      <w:pPr>
        <w:rPr>
          <w:rFonts w:asciiTheme="minorHAnsi" w:hAnsiTheme="minorHAnsi" w:cstheme="minorHAnsi"/>
        </w:rPr>
      </w:pPr>
      <w:r w:rsidRPr="00D47183">
        <w:rPr>
          <w:rFonts w:asciiTheme="minorHAnsi" w:hAnsiTheme="minorHAnsi" w:cstheme="minorHAnsi"/>
        </w:rPr>
        <w:br w:type="page"/>
      </w:r>
    </w:p>
    <w:p w14:paraId="575DECE0" w14:textId="0A08C520" w:rsidR="002F72EB" w:rsidRPr="00D47183" w:rsidRDefault="00C9786E" w:rsidP="00B769EE">
      <w:pPr>
        <w:rPr>
          <w:rFonts w:asciiTheme="minorHAnsi" w:hAnsiTheme="minorHAnsi" w:cstheme="minorHAnsi"/>
          <w:b/>
        </w:rPr>
      </w:pPr>
      <w:r w:rsidRPr="00D47183">
        <w:rPr>
          <w:rFonts w:asciiTheme="minorHAnsi" w:hAnsiTheme="minorHAnsi" w:cstheme="minorHAnsi"/>
          <w:b/>
        </w:rPr>
        <w:lastRenderedPageBreak/>
        <w:t>Draft manifesto</w:t>
      </w:r>
    </w:p>
    <w:p w14:paraId="2977A41D" w14:textId="740CE82A" w:rsidR="00645746" w:rsidRDefault="00645746" w:rsidP="00C97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The transition to a high DER energy system now seems inevitable. A high DER can provide </w:t>
      </w:r>
      <w:r w:rsidR="00C9786E"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 significant benefit</w:t>
      </w: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>s</w:t>
      </w:r>
      <w:r w:rsidR="00C9786E"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to </w:t>
      </w:r>
      <w:r w:rsidR="00C9786E"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Australian energy consumers</w:t>
      </w: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>, but can also create significant challenges if the transition does not deliver equitable benefits to all consumers and the system as a whole.</w:t>
      </w:r>
    </w:p>
    <w:p w14:paraId="38DC0FD0" w14:textId="77777777" w:rsidR="00645746" w:rsidRDefault="00645746" w:rsidP="00C97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</w:p>
    <w:p w14:paraId="4EA6DC3C" w14:textId="082C0FF8" w:rsidR="00C9786E" w:rsidRPr="00D47183" w:rsidRDefault="00645746" w:rsidP="00C97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color w:val="454545"/>
          <w:sz w:val="20"/>
          <w:szCs w:val="20"/>
        </w:rPr>
      </w:pP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Benefits of a high DER energy system </w:t>
      </w:r>
      <w:proofErr w:type="spellStart"/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>inlcude</w:t>
      </w:r>
      <w:proofErr w:type="spellEnd"/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>:</w:t>
      </w:r>
      <w:r w:rsidR="00C9786E"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 </w:t>
      </w:r>
    </w:p>
    <w:p w14:paraId="725BB865" w14:textId="77777777" w:rsidR="00C9786E" w:rsidRPr="00D47183" w:rsidRDefault="00C9786E" w:rsidP="00C9786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Speeding up </w:t>
      </w:r>
      <w:proofErr w:type="spellStart"/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decarbonisation</w:t>
      </w:r>
      <w:proofErr w:type="spellEnd"/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.</w:t>
      </w:r>
    </w:p>
    <w:p w14:paraId="43BDE949" w14:textId="77777777" w:rsidR="00C9786E" w:rsidRPr="00D47183" w:rsidRDefault="00C9786E" w:rsidP="00C9786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proofErr w:type="spellStart"/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Optimising</w:t>
      </w:r>
      <w:proofErr w:type="spellEnd"/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 the efficiency of new infrastructure needs.</w:t>
      </w:r>
    </w:p>
    <w:p w14:paraId="67AB7341" w14:textId="77777777" w:rsidR="00C9786E" w:rsidRPr="00D47183" w:rsidRDefault="00C9786E" w:rsidP="00C9786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Improving consumer choice and control.</w:t>
      </w:r>
    </w:p>
    <w:p w14:paraId="3771675F" w14:textId="77777777" w:rsidR="00C9786E" w:rsidRPr="00D47183" w:rsidRDefault="00C9786E" w:rsidP="00C9786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454545"/>
          <w:sz w:val="20"/>
          <w:szCs w:val="20"/>
        </w:rPr>
      </w:pPr>
      <w:r w:rsidRPr="00D47183">
        <w:rPr>
          <w:rFonts w:asciiTheme="minorHAnsi" w:hAnsiTheme="minorHAnsi" w:cstheme="minorHAnsi"/>
          <w:color w:val="454545"/>
          <w:sz w:val="20"/>
          <w:szCs w:val="20"/>
        </w:rPr>
        <w:t>Reducing prices.</w:t>
      </w:r>
    </w:p>
    <w:p w14:paraId="14976A6D" w14:textId="1D6D4482" w:rsidR="00C9786E" w:rsidRPr="00D47183" w:rsidRDefault="00C9786E" w:rsidP="00C9786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proofErr w:type="spellStart"/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Optimising</w:t>
      </w:r>
      <w:proofErr w:type="spellEnd"/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 system resilience</w:t>
      </w:r>
      <w:r w:rsidR="00645746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 and reliability</w:t>
      </w:r>
    </w:p>
    <w:p w14:paraId="0FDA92F2" w14:textId="77777777" w:rsidR="00C9786E" w:rsidRPr="00D47183" w:rsidRDefault="00C9786E" w:rsidP="00C97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color w:val="454545"/>
          <w:sz w:val="20"/>
          <w:szCs w:val="20"/>
        </w:rPr>
      </w:pPr>
    </w:p>
    <w:p w14:paraId="4F43FBFF" w14:textId="7D996DCE" w:rsidR="00C9786E" w:rsidRPr="00D47183" w:rsidRDefault="00645746" w:rsidP="00C97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color w:val="454545"/>
          <w:sz w:val="20"/>
          <w:szCs w:val="20"/>
        </w:rPr>
      </w:pP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>Challenges of a poor transition to a high DER energy system</w:t>
      </w:r>
      <w:r w:rsidR="00C9786E"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, includ</w:t>
      </w: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>e:</w:t>
      </w:r>
    </w:p>
    <w:p w14:paraId="41DDE8D2" w14:textId="77777777" w:rsidR="00F1522D" w:rsidRDefault="00645746" w:rsidP="00F1522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Equity challenges </w:t>
      </w:r>
      <w:r w:rsidR="00F1522D">
        <w:rPr>
          <w:rFonts w:asciiTheme="minorHAnsi" w:hAnsiTheme="minorHAnsi" w:cstheme="minorHAnsi"/>
          <w:color w:val="454545"/>
          <w:sz w:val="20"/>
          <w:szCs w:val="20"/>
          <w:lang w:val="en-US"/>
        </w:rPr>
        <w:t>:</w:t>
      </w:r>
    </w:p>
    <w:p w14:paraId="1C94642D" w14:textId="5276018C" w:rsidR="00645746" w:rsidRDefault="00645746" w:rsidP="00F1522D">
      <w:pPr>
        <w:pStyle w:val="Default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93"/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 w:rsidRPr="00F1522D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Ensuring that the benefits of DER </w:t>
      </w:r>
      <w:r w:rsidR="00F1522D" w:rsidRPr="00F1522D"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maximized are </w:t>
      </w:r>
      <w:r w:rsidRPr="00F1522D">
        <w:rPr>
          <w:rFonts w:asciiTheme="minorHAnsi" w:hAnsiTheme="minorHAnsi" w:cstheme="minorHAnsi"/>
          <w:color w:val="454545"/>
          <w:sz w:val="20"/>
          <w:szCs w:val="20"/>
          <w:lang w:val="en-US"/>
        </w:rPr>
        <w:t>provided to  those who are unlikely to be able to invest in or access  DER products and services, including renters, apartment dwellers and low income households.</w:t>
      </w:r>
    </w:p>
    <w:p w14:paraId="53A715B9" w14:textId="768CBF72" w:rsidR="00F1522D" w:rsidRPr="00F1522D" w:rsidRDefault="00F1522D" w:rsidP="00F1522D">
      <w:pPr>
        <w:pStyle w:val="Default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93"/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 xml:space="preserve">Cost of the transition is equitable and does not create greater hardship for low-income </w:t>
      </w:r>
      <w:proofErr w:type="spellStart"/>
      <w:r>
        <w:rPr>
          <w:rFonts w:asciiTheme="minorHAnsi" w:hAnsiTheme="minorHAnsi" w:cstheme="minorHAnsi"/>
          <w:color w:val="454545"/>
          <w:sz w:val="20"/>
          <w:szCs w:val="20"/>
          <w:lang w:val="en-US"/>
        </w:rPr>
        <w:t>housholds</w:t>
      </w:r>
      <w:proofErr w:type="spellEnd"/>
    </w:p>
    <w:p w14:paraId="7E27344F" w14:textId="77777777" w:rsidR="00C9786E" w:rsidRPr="00D47183" w:rsidRDefault="00C9786E" w:rsidP="00C9786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Technical challenges — e.g. in managing high reverse energy flows.</w:t>
      </w:r>
    </w:p>
    <w:p w14:paraId="0D7F13DA" w14:textId="68E375E0" w:rsidR="00C9786E" w:rsidRPr="002F19F5" w:rsidRDefault="00C9786E" w:rsidP="002F19F5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  <w:r w:rsidRPr="00D47183">
        <w:rPr>
          <w:rFonts w:asciiTheme="minorHAnsi" w:hAnsiTheme="minorHAnsi" w:cstheme="minorHAnsi"/>
          <w:color w:val="454545"/>
          <w:sz w:val="20"/>
          <w:szCs w:val="20"/>
          <w:lang w:val="en-US"/>
        </w:rPr>
        <w:t>Regulatory challenges — e.g. in creating distribution system operators and trading platforms.</w:t>
      </w:r>
    </w:p>
    <w:p w14:paraId="7D2D2E88" w14:textId="77777777" w:rsidR="00C9786E" w:rsidRPr="00D47183" w:rsidRDefault="00C9786E" w:rsidP="00C9786E">
      <w:pPr>
        <w:pStyle w:val="Default"/>
        <w:rPr>
          <w:rFonts w:asciiTheme="minorHAnsi" w:hAnsiTheme="minorHAnsi" w:cstheme="minorHAnsi"/>
          <w:color w:val="454545"/>
          <w:sz w:val="20"/>
          <w:szCs w:val="20"/>
          <w:lang w:val="en-US"/>
        </w:rPr>
      </w:pPr>
    </w:p>
    <w:p w14:paraId="01A86478" w14:textId="777D82F8" w:rsidR="00C9786E" w:rsidRPr="00D47183" w:rsidRDefault="00C9786E" w:rsidP="00B769EE">
      <w:pPr>
        <w:rPr>
          <w:rFonts w:asciiTheme="minorHAnsi" w:hAnsiTheme="minorHAnsi" w:cstheme="minorHAnsi"/>
          <w:b/>
        </w:rPr>
      </w:pPr>
      <w:r w:rsidRPr="00D47183">
        <w:rPr>
          <w:rFonts w:asciiTheme="minorHAnsi" w:hAnsiTheme="minorHAnsi" w:cstheme="minorHAnsi"/>
          <w:b/>
        </w:rPr>
        <w:t>Draft workplan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3508"/>
        <w:gridCol w:w="4019"/>
        <w:gridCol w:w="2105"/>
      </w:tblGrid>
      <w:tr w:rsidR="00C9786E" w:rsidRPr="00D47183" w14:paraId="07ADD1FB" w14:textId="77777777" w:rsidTr="00B648E0">
        <w:trPr>
          <w:trHeight w:val="295"/>
          <w:tblHeader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4CA1" w14:textId="77777777" w:rsidR="00C9786E" w:rsidRPr="00D47183" w:rsidRDefault="00C9786E" w:rsidP="00B648E0">
            <w:pPr>
              <w:pStyle w:val="TableStyle1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 xml:space="preserve">Issue 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6DCB" w14:textId="77777777" w:rsidR="00C9786E" w:rsidRPr="00D47183" w:rsidRDefault="00C9786E" w:rsidP="00B648E0">
            <w:pPr>
              <w:pStyle w:val="TableStyle1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Action/notes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CC26" w14:textId="77777777" w:rsidR="00C9786E" w:rsidRPr="00D47183" w:rsidRDefault="00C9786E" w:rsidP="00B648E0">
            <w:pPr>
              <w:pStyle w:val="TableStyle1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Lead</w:t>
            </w:r>
          </w:p>
        </w:tc>
      </w:tr>
      <w:tr w:rsidR="00C9786E" w:rsidRPr="00D47183" w14:paraId="2114FEE6" w14:textId="77777777" w:rsidTr="00B648E0">
        <w:tblPrEx>
          <w:shd w:val="clear" w:color="auto" w:fill="auto"/>
        </w:tblPrEx>
        <w:trPr>
          <w:trHeight w:val="482"/>
        </w:trPr>
        <w:tc>
          <w:tcPr>
            <w:tcW w:w="3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B2A6" w14:textId="5A5D6558" w:rsidR="00C9786E" w:rsidRPr="00D47183" w:rsidRDefault="00F1522D" w:rsidP="00B648E0">
            <w:pPr>
              <w:pStyle w:val="TableStyle1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Develop p</w:t>
            </w:r>
            <w:r w:rsidR="00C9786E" w:rsidRPr="00D47183">
              <w:rPr>
                <w:rFonts w:asciiTheme="minorHAnsi" w:eastAsia="Arial Unicode MS" w:hAnsiTheme="minorHAnsi" w:cstheme="minorHAnsi"/>
              </w:rPr>
              <w:t xml:space="preserve">rinciples </w:t>
            </w:r>
            <w:r>
              <w:rPr>
                <w:rFonts w:asciiTheme="minorHAnsi" w:eastAsia="Arial Unicode MS" w:hAnsiTheme="minorHAnsi" w:cstheme="minorHAnsi"/>
              </w:rPr>
              <w:t xml:space="preserve">on how the transition to DR </w:t>
            </w:r>
            <w:r w:rsidR="009101BD">
              <w:rPr>
                <w:rFonts w:asciiTheme="minorHAnsi" w:eastAsia="Arial Unicode MS" w:hAnsiTheme="minorHAnsi" w:cstheme="minorHAnsi"/>
              </w:rPr>
              <w:t>should be</w:t>
            </w:r>
            <w:bookmarkStart w:id="0" w:name="_GoBack"/>
            <w:bookmarkEnd w:id="0"/>
            <w:r>
              <w:rPr>
                <w:rFonts w:asciiTheme="minorHAnsi" w:eastAsia="Arial Unicode MS" w:hAnsiTheme="minorHAnsi" w:cstheme="minorHAnsi"/>
              </w:rPr>
              <w:t xml:space="preserve"> paid for 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6C62" w14:textId="2FE60343" w:rsidR="00C9786E" w:rsidRPr="00D47183" w:rsidRDefault="00C9786E" w:rsidP="009B5C21">
            <w:pPr>
              <w:pStyle w:val="TableStyle1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hAnsiTheme="minorHAnsi" w:cstheme="minorHAnsi"/>
                <w:b w:val="0"/>
                <w:bCs w:val="0"/>
              </w:rPr>
              <w:t>Draft lifted from principles in 2018 TEC paper</w:t>
            </w:r>
            <w:r w:rsidR="009B5C21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E2E4" w14:textId="77777777" w:rsidR="00C9786E" w:rsidRPr="00D47183" w:rsidRDefault="00C9786E" w:rsidP="00B648E0">
            <w:pPr>
              <w:pStyle w:val="TableStyle2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Mark B</w:t>
            </w:r>
          </w:p>
        </w:tc>
      </w:tr>
      <w:tr w:rsidR="00C9786E" w:rsidRPr="00D47183" w14:paraId="5A4A1CFB" w14:textId="77777777" w:rsidTr="00B648E0">
        <w:tblPrEx>
          <w:shd w:val="clear" w:color="auto" w:fill="auto"/>
        </w:tblPrEx>
        <w:trPr>
          <w:trHeight w:val="479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8EA1" w14:textId="0592EE68" w:rsidR="00C9786E" w:rsidRPr="00D47183" w:rsidRDefault="00F1522D" w:rsidP="00B648E0">
            <w:pPr>
              <w:pStyle w:val="TableStyle1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Develop p</w:t>
            </w:r>
            <w:r w:rsidR="00C9786E" w:rsidRPr="00D47183">
              <w:rPr>
                <w:rFonts w:asciiTheme="minorHAnsi" w:eastAsia="Arial Unicode MS" w:hAnsiTheme="minorHAnsi" w:cstheme="minorHAnsi"/>
              </w:rPr>
              <w:t xml:space="preserve">rinciples </w:t>
            </w:r>
            <w:r>
              <w:rPr>
                <w:rFonts w:asciiTheme="minorHAnsi" w:eastAsia="Arial Unicode MS" w:hAnsiTheme="minorHAnsi" w:cstheme="minorHAnsi"/>
              </w:rPr>
              <w:t>dealing with DER and splint incentives</w:t>
            </w:r>
          </w:p>
          <w:p w14:paraId="7B037E7E" w14:textId="70D0BAD5" w:rsidR="00C9786E" w:rsidRPr="00D47183" w:rsidRDefault="00C9786E" w:rsidP="00B648E0">
            <w:pPr>
              <w:pStyle w:val="TableStyle1"/>
              <w:rPr>
                <w:rFonts w:asciiTheme="minorHAnsi" w:hAnsiTheme="minorHAnsi" w:cstheme="minorHAnsi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96F7" w14:textId="77777777" w:rsidR="00C9786E" w:rsidRPr="00D47183" w:rsidRDefault="00C9786E" w:rsidP="00B648E0">
            <w:pPr>
              <w:pStyle w:val="TableStyle1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hAnsiTheme="minorHAnsi" w:cstheme="minorHAnsi"/>
                <w:b w:val="0"/>
                <w:bCs w:val="0"/>
              </w:rPr>
              <w:t>Draft briefing paper elaborating on principles to support renters and low-income households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70D9" w14:textId="77777777" w:rsidR="00C9786E" w:rsidRPr="00D47183" w:rsidRDefault="00C9786E" w:rsidP="00B648E0">
            <w:pPr>
              <w:pStyle w:val="TableStyle2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Luke and Mark H</w:t>
            </w:r>
          </w:p>
        </w:tc>
      </w:tr>
      <w:tr w:rsidR="00C9786E" w:rsidRPr="00D47183" w14:paraId="7FE8A53C" w14:textId="77777777" w:rsidTr="00B648E0">
        <w:tblPrEx>
          <w:shd w:val="clear" w:color="auto" w:fill="auto"/>
        </w:tblPrEx>
        <w:trPr>
          <w:trHeight w:val="479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B574" w14:textId="1B59C955" w:rsidR="00C9786E" w:rsidRPr="00D47183" w:rsidRDefault="00F1522D" w:rsidP="00B648E0">
            <w:pPr>
              <w:pStyle w:val="TableStyle1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Greater consumer input into the </w:t>
            </w:r>
            <w:r w:rsidR="00C9786E" w:rsidRPr="00D47183">
              <w:rPr>
                <w:rFonts w:asciiTheme="minorHAnsi" w:eastAsia="Arial Unicode MS" w:hAnsiTheme="minorHAnsi" w:cstheme="minorHAnsi"/>
              </w:rPr>
              <w:t>Open Energy Networks</w:t>
            </w:r>
            <w:r>
              <w:rPr>
                <w:rFonts w:asciiTheme="minorHAnsi" w:eastAsia="Arial Unicode MS" w:hAnsiTheme="minorHAnsi" w:cstheme="minorHAnsi"/>
              </w:rPr>
              <w:t xml:space="preserve"> consultation</w:t>
            </w:r>
          </w:p>
          <w:p w14:paraId="7BAC0F09" w14:textId="129C8048" w:rsidR="00C9786E" w:rsidRPr="00D47183" w:rsidRDefault="00C9786E" w:rsidP="00B648E0">
            <w:pPr>
              <w:pStyle w:val="TableStyle1"/>
              <w:rPr>
                <w:rFonts w:asciiTheme="minorHAnsi" w:hAnsiTheme="minorHAnsi" w:cstheme="minorHAnsi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BBB1" w14:textId="18F20A39" w:rsidR="00C9786E" w:rsidRPr="00D47183" w:rsidRDefault="00C9786E" w:rsidP="00F1522D">
            <w:pPr>
              <w:pStyle w:val="TableStyle1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hAnsiTheme="minorHAnsi" w:cstheme="minorHAnsi"/>
                <w:b w:val="0"/>
                <w:bCs w:val="0"/>
              </w:rPr>
              <w:t xml:space="preserve">Liaison with ENA </w:t>
            </w:r>
            <w:r w:rsidR="00F1522D">
              <w:rPr>
                <w:rFonts w:asciiTheme="minorHAnsi" w:hAnsiTheme="minorHAnsi" w:cstheme="minorHAnsi"/>
                <w:b w:val="0"/>
                <w:bCs w:val="0"/>
              </w:rPr>
              <w:t>and AEMC to provide a forum and processes to seek  greater</w:t>
            </w:r>
            <w:r w:rsidRPr="00D47183">
              <w:rPr>
                <w:rFonts w:asciiTheme="minorHAnsi" w:hAnsiTheme="minorHAnsi" w:cstheme="minorHAnsi"/>
                <w:b w:val="0"/>
                <w:bCs w:val="0"/>
              </w:rPr>
              <w:t xml:space="preserve"> consumer input</w:t>
            </w:r>
            <w:r w:rsidR="00F1522D">
              <w:rPr>
                <w:rFonts w:asciiTheme="minorHAnsi" w:hAnsiTheme="minorHAnsi" w:cstheme="minorHAnsi"/>
                <w:b w:val="0"/>
                <w:bCs w:val="0"/>
              </w:rPr>
              <w:t xml:space="preserve"> into the development of the Open Networks plan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2CAC" w14:textId="77777777" w:rsidR="00C9786E" w:rsidRPr="00D47183" w:rsidRDefault="00C9786E" w:rsidP="00B648E0">
            <w:pPr>
              <w:pStyle w:val="TableStyle2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Kellie</w:t>
            </w:r>
          </w:p>
        </w:tc>
      </w:tr>
      <w:tr w:rsidR="00C9786E" w:rsidRPr="00D47183" w14:paraId="4BDDDCF8" w14:textId="77777777" w:rsidTr="00B648E0">
        <w:tblPrEx>
          <w:shd w:val="clear" w:color="auto" w:fill="auto"/>
        </w:tblPrEx>
        <w:trPr>
          <w:trHeight w:val="295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22EB" w14:textId="74163144" w:rsidR="00C9786E" w:rsidRPr="00D47183" w:rsidRDefault="00F1522D" w:rsidP="00B648E0">
            <w:pPr>
              <w:pStyle w:val="TableStyle1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Greater consumer engagement in the </w:t>
            </w:r>
            <w:r w:rsidR="002F19F5">
              <w:rPr>
                <w:rFonts w:asciiTheme="minorHAnsi" w:eastAsia="Arial Unicode MS" w:hAnsiTheme="minorHAnsi" w:cstheme="minorHAnsi"/>
              </w:rPr>
              <w:t>f</w:t>
            </w:r>
            <w:r w:rsidR="00C9786E" w:rsidRPr="00D47183">
              <w:rPr>
                <w:rFonts w:asciiTheme="minorHAnsi" w:eastAsia="Arial Unicode MS" w:hAnsiTheme="minorHAnsi" w:cstheme="minorHAnsi"/>
              </w:rPr>
              <w:t xml:space="preserve">uture DER-rich system design 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5E66" w14:textId="0C1AE6E0" w:rsidR="00C9786E" w:rsidRPr="00D47183" w:rsidRDefault="00F1522D" w:rsidP="00B648E0">
            <w:pPr>
              <w:pStyle w:val="TableSty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Work with</w:t>
            </w:r>
            <w:r w:rsidR="00C9786E" w:rsidRPr="00D47183">
              <w:rPr>
                <w:rFonts w:asciiTheme="minorHAnsi" w:hAnsiTheme="minorHAnsi" w:cstheme="minorHAnsi"/>
                <w:b w:val="0"/>
                <w:bCs w:val="0"/>
              </w:rPr>
              <w:t xml:space="preserve"> ARENA’s DEIP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to identify</w:t>
            </w:r>
            <w:r w:rsidR="009B5C21">
              <w:rPr>
                <w:rFonts w:asciiTheme="minorHAnsi" w:hAnsiTheme="minorHAnsi" w:cstheme="minorHAnsi"/>
                <w:b w:val="0"/>
                <w:bCs w:val="0"/>
              </w:rPr>
              <w:t xml:space="preserve"> joint project to improve consumer benefits in a future DER-rich system 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3E66" w14:textId="77777777" w:rsidR="00C9786E" w:rsidRPr="00D47183" w:rsidRDefault="00C9786E" w:rsidP="00B648E0">
            <w:pPr>
              <w:pStyle w:val="TableStyle2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Kellie</w:t>
            </w:r>
          </w:p>
        </w:tc>
      </w:tr>
      <w:tr w:rsidR="00C9786E" w:rsidRPr="00D47183" w14:paraId="6D20CFB8" w14:textId="77777777" w:rsidTr="00B648E0">
        <w:tblPrEx>
          <w:shd w:val="clear" w:color="auto" w:fill="auto"/>
        </w:tblPrEx>
        <w:trPr>
          <w:trHeight w:val="719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736D" w14:textId="036109EA" w:rsidR="00C9786E" w:rsidRPr="00D47183" w:rsidRDefault="00F1522D" w:rsidP="00B648E0">
            <w:pPr>
              <w:pStyle w:val="TableStyle1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Capacity building – Webinar on </w:t>
            </w:r>
            <w:r w:rsidR="00C9786E" w:rsidRPr="00D47183">
              <w:rPr>
                <w:rFonts w:asciiTheme="minorHAnsi" w:eastAsia="Arial Unicode MS" w:hAnsiTheme="minorHAnsi" w:cstheme="minorHAnsi"/>
              </w:rPr>
              <w:t>TEC paper on equity implications of sol</w:t>
            </w:r>
            <w:r w:rsidR="009101BD">
              <w:rPr>
                <w:rFonts w:asciiTheme="minorHAnsi" w:eastAsia="Arial Unicode MS" w:hAnsiTheme="minorHAnsi" w:cstheme="minorHAnsi"/>
              </w:rPr>
              <w:t>ar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00C7" w14:textId="5C508703" w:rsidR="00C9786E" w:rsidRPr="00D47183" w:rsidRDefault="00C9786E" w:rsidP="00B648E0">
            <w:pPr>
              <w:pStyle w:val="TableStyle1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hAnsiTheme="minorHAnsi" w:cstheme="minorHAnsi"/>
                <w:b w:val="0"/>
                <w:bCs w:val="0"/>
              </w:rPr>
              <w:t>Kell</w:t>
            </w:r>
            <w:r w:rsidR="00F1522D">
              <w:rPr>
                <w:rFonts w:asciiTheme="minorHAnsi" w:hAnsiTheme="minorHAnsi" w:cstheme="minorHAnsi"/>
                <w:b w:val="0"/>
                <w:bCs w:val="0"/>
              </w:rPr>
              <w:t>ie</w:t>
            </w:r>
            <w:r w:rsidRPr="00D47183">
              <w:rPr>
                <w:rFonts w:asciiTheme="minorHAnsi" w:hAnsiTheme="minorHAnsi" w:cstheme="minorHAnsi"/>
                <w:b w:val="0"/>
                <w:bCs w:val="0"/>
              </w:rPr>
              <w:t xml:space="preserve"> to organise webinar for </w:t>
            </w:r>
            <w:r w:rsidR="009B5C21">
              <w:rPr>
                <w:rFonts w:asciiTheme="minorHAnsi" w:hAnsiTheme="minorHAnsi" w:cstheme="minorHAnsi"/>
                <w:b w:val="0"/>
                <w:bCs w:val="0"/>
              </w:rPr>
              <w:t xml:space="preserve">RT and </w:t>
            </w:r>
            <w:r w:rsidRPr="00D47183">
              <w:rPr>
                <w:rFonts w:asciiTheme="minorHAnsi" w:hAnsiTheme="minorHAnsi" w:cstheme="minorHAnsi"/>
                <w:b w:val="0"/>
                <w:bCs w:val="0"/>
              </w:rPr>
              <w:t>ACOSS members</w:t>
            </w:r>
            <w:r w:rsidR="009B5C21">
              <w:rPr>
                <w:rFonts w:asciiTheme="minorHAnsi" w:hAnsiTheme="minorHAnsi" w:cstheme="minorHAnsi"/>
                <w:b w:val="0"/>
                <w:bCs w:val="0"/>
              </w:rPr>
              <w:t xml:space="preserve"> (capacity building)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A683" w14:textId="77777777" w:rsidR="00C9786E" w:rsidRPr="00D47183" w:rsidRDefault="00C9786E" w:rsidP="00B648E0">
            <w:pPr>
              <w:pStyle w:val="TableStyle2"/>
              <w:rPr>
                <w:rFonts w:asciiTheme="minorHAnsi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Kellie, Mark B</w:t>
            </w:r>
          </w:p>
        </w:tc>
      </w:tr>
      <w:tr w:rsidR="009B5C21" w:rsidRPr="00D47183" w14:paraId="1917690D" w14:textId="77777777" w:rsidTr="009B5C21">
        <w:tblPrEx>
          <w:shd w:val="clear" w:color="auto" w:fill="auto"/>
        </w:tblPrEx>
        <w:trPr>
          <w:trHeight w:val="719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6AEC" w14:textId="32E15BCD" w:rsidR="009B5C21" w:rsidRPr="009B5C21" w:rsidRDefault="009B5C21" w:rsidP="004301AF">
            <w:pPr>
              <w:pStyle w:val="TableStyle1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TBC: </w:t>
            </w:r>
            <w:r w:rsidRPr="00D47183">
              <w:rPr>
                <w:rFonts w:asciiTheme="minorHAnsi" w:eastAsia="Arial Unicode MS" w:hAnsiTheme="minorHAnsi" w:cstheme="minorHAnsi"/>
              </w:rPr>
              <w:t>Network constraints on solar</w:t>
            </w:r>
            <w:r>
              <w:rPr>
                <w:rFonts w:asciiTheme="minorHAnsi" w:eastAsia="Arial Unicode MS" w:hAnsiTheme="minorHAnsi" w:cstheme="minorHAnsi"/>
              </w:rPr>
              <w:t xml:space="preserve"> (</w:t>
            </w:r>
            <w:r w:rsidRPr="00D47183">
              <w:rPr>
                <w:rFonts w:asciiTheme="minorHAnsi" w:hAnsiTheme="minorHAnsi" w:cstheme="minorHAnsi"/>
                <w:b w:val="0"/>
                <w:bCs w:val="0"/>
              </w:rPr>
              <w:t>Pending outcome of Renew ECA grant application</w:t>
            </w:r>
            <w:r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84FA" w14:textId="7A1B91FB" w:rsidR="009B5C21" w:rsidRPr="009B5C21" w:rsidRDefault="009B5C21" w:rsidP="009B5C21">
            <w:pPr>
              <w:pStyle w:val="TableStyle1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Briefing note for RT on how networks are dealing with network constraints due to high solar penetration to build RT capacity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28DD" w14:textId="77777777" w:rsidR="009B5C21" w:rsidRPr="009B5C21" w:rsidRDefault="009B5C21" w:rsidP="004301AF">
            <w:pPr>
              <w:pStyle w:val="TableStyle2"/>
              <w:rPr>
                <w:rFonts w:asciiTheme="minorHAnsi" w:eastAsia="Arial Unicode MS" w:hAnsiTheme="minorHAnsi" w:cstheme="minorHAnsi"/>
              </w:rPr>
            </w:pPr>
            <w:r w:rsidRPr="00D47183">
              <w:rPr>
                <w:rFonts w:asciiTheme="minorHAnsi" w:eastAsia="Arial Unicode MS" w:hAnsiTheme="minorHAnsi" w:cstheme="minorHAnsi"/>
              </w:rPr>
              <w:t>Dean /Rob</w:t>
            </w:r>
          </w:p>
        </w:tc>
      </w:tr>
    </w:tbl>
    <w:p w14:paraId="16B8731A" w14:textId="77777777" w:rsidR="00CF6F08" w:rsidRDefault="00CF6F08" w:rsidP="00B769EE">
      <w:pPr>
        <w:rPr>
          <w:rFonts w:asciiTheme="minorHAnsi" w:hAnsiTheme="minorHAnsi" w:cstheme="minorHAnsi"/>
          <w:b/>
          <w:sz w:val="20"/>
          <w:szCs w:val="20"/>
        </w:rPr>
      </w:pPr>
    </w:p>
    <w:p w14:paraId="405EA283" w14:textId="0D692B8D" w:rsidR="00C9786E" w:rsidRPr="00CF6F08" w:rsidRDefault="00CF6F08" w:rsidP="00B769EE">
      <w:pPr>
        <w:rPr>
          <w:rFonts w:asciiTheme="minorHAnsi" w:hAnsiTheme="minorHAnsi" w:cstheme="minorHAnsi"/>
          <w:b/>
          <w:sz w:val="20"/>
          <w:szCs w:val="20"/>
        </w:rPr>
      </w:pPr>
      <w:r w:rsidRPr="00CF6F08">
        <w:rPr>
          <w:rFonts w:asciiTheme="minorHAnsi" w:hAnsiTheme="minorHAnsi" w:cstheme="minorHAnsi"/>
          <w:b/>
          <w:sz w:val="20"/>
          <w:szCs w:val="20"/>
        </w:rPr>
        <w:t>Note: All projects are due to report in progress or final form to the Brisbane Roundtable in June 2019</w:t>
      </w:r>
    </w:p>
    <w:sectPr w:rsidR="00C9786E" w:rsidRPr="00CF6F08" w:rsidSect="002F72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E0FD" w14:textId="77777777" w:rsidR="001D1865" w:rsidRDefault="001D1865" w:rsidP="00734091">
      <w:r>
        <w:separator/>
      </w:r>
    </w:p>
  </w:endnote>
  <w:endnote w:type="continuationSeparator" w:id="0">
    <w:p w14:paraId="673EC5D5" w14:textId="77777777" w:rsidR="001D1865" w:rsidRDefault="001D1865" w:rsidP="0073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18987"/>
      <w:docPartObj>
        <w:docPartGallery w:val="Page Numbers (Bottom of Page)"/>
        <w:docPartUnique/>
      </w:docPartObj>
    </w:sdtPr>
    <w:sdtEndPr/>
    <w:sdtContent>
      <w:p w14:paraId="5ADAE35C" w14:textId="77777777" w:rsidR="00734091" w:rsidRDefault="00376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11731" w14:textId="77777777" w:rsidR="00734091" w:rsidRDefault="0073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23BC" w14:textId="77777777" w:rsidR="001D1865" w:rsidRDefault="001D1865" w:rsidP="00734091">
      <w:r>
        <w:separator/>
      </w:r>
    </w:p>
  </w:footnote>
  <w:footnote w:type="continuationSeparator" w:id="0">
    <w:p w14:paraId="7A404B61" w14:textId="77777777" w:rsidR="001D1865" w:rsidRDefault="001D1865" w:rsidP="0073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4D64" w14:textId="77777777" w:rsidR="00734091" w:rsidRDefault="00734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978"/>
    <w:multiLevelType w:val="hybridMultilevel"/>
    <w:tmpl w:val="FA5062B2"/>
    <w:styleLink w:val="Numbered"/>
    <w:lvl w:ilvl="0" w:tplc="CED8C2DA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46BDE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4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0400E">
      <w:start w:val="1"/>
      <w:numFmt w:val="decimal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2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5CB75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0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B87CE6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8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D26956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6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A47B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4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FA5D24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2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FEB35E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07" w:hanging="4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254181"/>
    <w:multiLevelType w:val="hybridMultilevel"/>
    <w:tmpl w:val="58EA78F8"/>
    <w:styleLink w:val="Bullet"/>
    <w:lvl w:ilvl="0" w:tplc="5058B22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67075F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65E55F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A8F76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314A1F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D44274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C80957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EFC2E1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E1CF6D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CCB12DC"/>
    <w:multiLevelType w:val="hybridMultilevel"/>
    <w:tmpl w:val="691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04B0"/>
    <w:multiLevelType w:val="hybridMultilevel"/>
    <w:tmpl w:val="58EA78F8"/>
    <w:numStyleLink w:val="Bullet"/>
  </w:abstractNum>
  <w:abstractNum w:abstractNumId="4" w15:restartNumberingAfterBreak="0">
    <w:nsid w:val="55A30EF6"/>
    <w:multiLevelType w:val="hybridMultilevel"/>
    <w:tmpl w:val="FA5062B2"/>
    <w:numStyleLink w:val="Numbered"/>
  </w:abstractNum>
  <w:abstractNum w:abstractNumId="5" w15:restartNumberingAfterBreak="0">
    <w:nsid w:val="55DF07EE"/>
    <w:multiLevelType w:val="hybridMultilevel"/>
    <w:tmpl w:val="B78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07A5"/>
    <w:multiLevelType w:val="hybridMultilevel"/>
    <w:tmpl w:val="E384D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29"/>
    <w:rsid w:val="000130F4"/>
    <w:rsid w:val="00056AA6"/>
    <w:rsid w:val="00072D0A"/>
    <w:rsid w:val="00082852"/>
    <w:rsid w:val="000D54C7"/>
    <w:rsid w:val="000F7EEA"/>
    <w:rsid w:val="00121CDF"/>
    <w:rsid w:val="001368DD"/>
    <w:rsid w:val="001B7A49"/>
    <w:rsid w:val="001D1865"/>
    <w:rsid w:val="001E7D38"/>
    <w:rsid w:val="00226890"/>
    <w:rsid w:val="00275110"/>
    <w:rsid w:val="00286CEC"/>
    <w:rsid w:val="002A32A6"/>
    <w:rsid w:val="002E314B"/>
    <w:rsid w:val="002F19F5"/>
    <w:rsid w:val="002F72EB"/>
    <w:rsid w:val="00340B7C"/>
    <w:rsid w:val="003612DF"/>
    <w:rsid w:val="0037031B"/>
    <w:rsid w:val="0037682D"/>
    <w:rsid w:val="003B46FC"/>
    <w:rsid w:val="003B7E28"/>
    <w:rsid w:val="003E078A"/>
    <w:rsid w:val="003E2E70"/>
    <w:rsid w:val="003F329C"/>
    <w:rsid w:val="004314D1"/>
    <w:rsid w:val="00513E60"/>
    <w:rsid w:val="005711FD"/>
    <w:rsid w:val="00607FC8"/>
    <w:rsid w:val="00627408"/>
    <w:rsid w:val="00645746"/>
    <w:rsid w:val="00654935"/>
    <w:rsid w:val="0067504E"/>
    <w:rsid w:val="00686004"/>
    <w:rsid w:val="006C5815"/>
    <w:rsid w:val="00700BBC"/>
    <w:rsid w:val="00732796"/>
    <w:rsid w:val="00734091"/>
    <w:rsid w:val="0076532C"/>
    <w:rsid w:val="0077490C"/>
    <w:rsid w:val="00803A52"/>
    <w:rsid w:val="00874F29"/>
    <w:rsid w:val="009101BD"/>
    <w:rsid w:val="009647AB"/>
    <w:rsid w:val="009B5C21"/>
    <w:rsid w:val="009E6211"/>
    <w:rsid w:val="00AA09B8"/>
    <w:rsid w:val="00AC79B0"/>
    <w:rsid w:val="00B419AF"/>
    <w:rsid w:val="00B4618E"/>
    <w:rsid w:val="00B769EE"/>
    <w:rsid w:val="00BF7B01"/>
    <w:rsid w:val="00C9786E"/>
    <w:rsid w:val="00CB3715"/>
    <w:rsid w:val="00CF6F08"/>
    <w:rsid w:val="00D27E6A"/>
    <w:rsid w:val="00D46F67"/>
    <w:rsid w:val="00D47183"/>
    <w:rsid w:val="00D566D9"/>
    <w:rsid w:val="00D62E20"/>
    <w:rsid w:val="00D72396"/>
    <w:rsid w:val="00DC37B1"/>
    <w:rsid w:val="00DC7F29"/>
    <w:rsid w:val="00DE11C9"/>
    <w:rsid w:val="00DF21C2"/>
    <w:rsid w:val="00E25EB3"/>
    <w:rsid w:val="00F10B76"/>
    <w:rsid w:val="00F1522D"/>
    <w:rsid w:val="00F43AEB"/>
    <w:rsid w:val="00F73D51"/>
    <w:rsid w:val="00FC7A8F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26707"/>
  <w15:docId w15:val="{0242DF05-3739-884F-8BB0-647FF912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340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4091"/>
  </w:style>
  <w:style w:type="paragraph" w:styleId="Footer">
    <w:name w:val="footer"/>
    <w:basedOn w:val="Normal"/>
    <w:link w:val="FooterChar"/>
    <w:uiPriority w:val="99"/>
    <w:unhideWhenUsed/>
    <w:rsid w:val="007340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34091"/>
  </w:style>
  <w:style w:type="paragraph" w:styleId="ListParagraph">
    <w:name w:val="List Paragraph"/>
    <w:basedOn w:val="Normal"/>
    <w:uiPriority w:val="34"/>
    <w:qFormat/>
    <w:rsid w:val="00F10B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Default">
    <w:name w:val="Default"/>
    <w:rsid w:val="003E2E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US"/>
    </w:rPr>
  </w:style>
  <w:style w:type="numbering" w:customStyle="1" w:styleId="Bullet">
    <w:name w:val="Bullet"/>
    <w:rsid w:val="003E2E70"/>
    <w:pPr>
      <w:numPr>
        <w:numId w:val="1"/>
      </w:numPr>
    </w:pPr>
  </w:style>
  <w:style w:type="paragraph" w:customStyle="1" w:styleId="TableStyle1">
    <w:name w:val="Table Style 1"/>
    <w:rsid w:val="00DF21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US"/>
    </w:rPr>
  </w:style>
  <w:style w:type="paragraph" w:customStyle="1" w:styleId="TableStyle2">
    <w:name w:val="Table Style 2"/>
    <w:rsid w:val="00DF21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1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C2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C2"/>
    <w:rPr>
      <w:rFonts w:eastAsiaTheme="minorEastAsia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C2"/>
    <w:rPr>
      <w:rFonts w:ascii="Times New Roman" w:hAnsi="Times New Roman" w:cs="Times New Roman"/>
      <w:sz w:val="18"/>
      <w:szCs w:val="18"/>
    </w:rPr>
  </w:style>
  <w:style w:type="numbering" w:customStyle="1" w:styleId="Numbered">
    <w:name w:val="Numbered"/>
    <w:rsid w:val="00C9786E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E25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21"/>
    <w:rPr>
      <w:rFonts w:ascii="Times New Roman" w:eastAsia="Times New Roman" w:hAnsi="Times New Roman" w:cs="Times New Roman"/>
      <w:b/>
      <w:bCs/>
      <w:sz w:val="20"/>
      <w:szCs w:val="2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</dc:creator>
  <cp:lastModifiedBy>Mark Byrne</cp:lastModifiedBy>
  <cp:revision>2</cp:revision>
  <cp:lastPrinted>2013-10-17T22:36:00Z</cp:lastPrinted>
  <dcterms:created xsi:type="dcterms:W3CDTF">2019-03-21T01:49:00Z</dcterms:created>
  <dcterms:modified xsi:type="dcterms:W3CDTF">2019-03-21T01:49:00Z</dcterms:modified>
</cp:coreProperties>
</file>